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4CE" w:rsidRDefault="00AF64CE" w:rsidP="00AF64CE">
      <w:pPr>
        <w:pStyle w:val="NormalWeb"/>
        <w:spacing w:line="276" w:lineRule="auto"/>
        <w:jc w:val="right"/>
        <w:rPr>
          <w:rFonts w:ascii="Palatino Linotype" w:hAnsi="Palatino Linotype"/>
          <w:b/>
          <w:bCs/>
          <w:color w:val="000000"/>
          <w:sz w:val="23"/>
          <w:szCs w:val="23"/>
          <w:lang w:val="es-ES"/>
        </w:rPr>
      </w:pPr>
      <w:r w:rsidRPr="00D54C5C">
        <w:rPr>
          <w:rFonts w:ascii="Palatino Linotype" w:hAnsi="Palatino Linotype"/>
          <w:b/>
          <w:sz w:val="20"/>
          <w:szCs w:val="20"/>
        </w:rPr>
        <w:t>CRITERIO REITERADO 05/2</w:t>
      </w:r>
      <w:r>
        <w:rPr>
          <w:rFonts w:ascii="Palatino Linotype" w:hAnsi="Palatino Linotype"/>
          <w:b/>
          <w:sz w:val="20"/>
          <w:szCs w:val="20"/>
        </w:rPr>
        <w:t xml:space="preserve">024 </w:t>
      </w:r>
    </w:p>
    <w:p w:rsidR="00AF64CE" w:rsidRDefault="00AF64CE" w:rsidP="00AF64CE">
      <w:pPr>
        <w:pStyle w:val="NormalWeb"/>
        <w:spacing w:line="276" w:lineRule="auto"/>
        <w:jc w:val="both"/>
        <w:rPr>
          <w:rFonts w:ascii="Palatino Linotype" w:hAnsi="Palatino Linotype"/>
          <w:b/>
          <w:bCs/>
          <w:color w:val="000000"/>
          <w:sz w:val="23"/>
          <w:szCs w:val="23"/>
          <w:lang w:val="es-ES"/>
        </w:rPr>
      </w:pPr>
    </w:p>
    <w:p w:rsidR="00AF64CE" w:rsidRPr="00776B25" w:rsidRDefault="00AF64CE" w:rsidP="00AF64CE">
      <w:pPr>
        <w:pStyle w:val="NormalWeb"/>
        <w:spacing w:line="276" w:lineRule="auto"/>
        <w:jc w:val="both"/>
        <w:rPr>
          <w:rFonts w:ascii="Palatino Linotype" w:hAnsi="Palatino Linotype"/>
          <w:b/>
          <w:sz w:val="23"/>
          <w:szCs w:val="23"/>
        </w:rPr>
      </w:pPr>
      <w:r w:rsidRPr="00314197">
        <w:rPr>
          <w:rFonts w:ascii="Palatino Linotype" w:hAnsi="Palatino Linotype"/>
          <w:b/>
          <w:bCs/>
          <w:color w:val="000000"/>
          <w:sz w:val="23"/>
          <w:szCs w:val="23"/>
          <w:lang w:val="es-ES"/>
        </w:rPr>
        <w:t>SEGUNDO RECURSO DE REVISIÓN. ES IMPROCEDENTE CUANDO LA INCONFORMIDAD NO VERSA RESPECTO DEL CUMPLIMIENTO A LA PRIMERA RESOLUCIÓN.</w:t>
      </w:r>
      <w:r w:rsidRPr="00440F2A">
        <w:rPr>
          <w:rFonts w:ascii="Palatino Linotype" w:hAnsi="Palatino Linotype"/>
          <w:sz w:val="23"/>
          <w:szCs w:val="23"/>
          <w:lang w:val="es-ES"/>
        </w:rPr>
        <w:t xml:space="preserve"> De conformidad con lo dispuesto por el artículo 179, último párrafo de la Ley de Transparencia y Acceso a la Información Pública del Estado de México y Municipios, la respuesta que den los sujetos obligados derivada de la resolución a un recurso de revisión que proceda por las causales ahí</w:t>
      </w:r>
      <w:r w:rsidRPr="00776B25">
        <w:rPr>
          <w:rFonts w:ascii="Palatino Linotype" w:hAnsi="Palatino Linotype"/>
          <w:sz w:val="23"/>
          <w:szCs w:val="23"/>
          <w:lang w:val="es-ES"/>
        </w:rPr>
        <w:t xml:space="preserve"> señaladas, es susceptible de ser impugnada de nueva cuenta, mediante recurso de revisión. Por lo cual, será improcedente el segundo recurso de revisión interpuesto en contra de la falta de entrega de información en cumplimiento a la resolución del primer recurso de revisión. </w:t>
      </w:r>
    </w:p>
    <w:p w:rsidR="00AF64CE" w:rsidRDefault="00AF64CE" w:rsidP="00AF64CE">
      <w:pPr>
        <w:spacing w:line="276" w:lineRule="auto"/>
        <w:jc w:val="both"/>
        <w:rPr>
          <w:rFonts w:ascii="Palatino Linotype" w:hAnsi="Palatino Linotype"/>
          <w:b/>
          <w:sz w:val="23"/>
          <w:szCs w:val="23"/>
        </w:rPr>
      </w:pPr>
      <w:r w:rsidRPr="004C5070">
        <w:rPr>
          <w:rFonts w:ascii="Palatino Linotype" w:hAnsi="Palatino Linotype"/>
          <w:b/>
          <w:sz w:val="23"/>
          <w:szCs w:val="23"/>
        </w:rPr>
        <w:t xml:space="preserve">Precedentes: </w:t>
      </w:r>
    </w:p>
    <w:p w:rsidR="00AF64CE" w:rsidRPr="004C5070" w:rsidRDefault="00AF64CE" w:rsidP="00AF64CE">
      <w:pPr>
        <w:spacing w:line="276" w:lineRule="auto"/>
        <w:jc w:val="both"/>
        <w:rPr>
          <w:rFonts w:ascii="Palatino Linotype" w:hAnsi="Palatino Linotype"/>
          <w:b/>
          <w:sz w:val="23"/>
          <w:szCs w:val="23"/>
        </w:rPr>
      </w:pPr>
    </w:p>
    <w:p w:rsidR="00AF64CE" w:rsidRPr="00AA404F" w:rsidRDefault="00AF64CE" w:rsidP="00AF64CE">
      <w:pPr>
        <w:pStyle w:val="Prrafodelista"/>
        <w:numPr>
          <w:ilvl w:val="0"/>
          <w:numId w:val="1"/>
        </w:numPr>
        <w:spacing w:after="0" w:line="240" w:lineRule="auto"/>
        <w:ind w:left="360"/>
        <w:jc w:val="both"/>
        <w:rPr>
          <w:rFonts w:ascii="Palatino Linotype" w:eastAsia="Times New Roman" w:hAnsi="Palatino Linotype" w:cs="Times New Roman"/>
          <w:sz w:val="20"/>
          <w:szCs w:val="20"/>
          <w:lang w:val="es-ES" w:eastAsia="es-ES_tradnl"/>
        </w:rPr>
      </w:pPr>
      <w:r w:rsidRPr="00AA404F">
        <w:rPr>
          <w:rFonts w:ascii="Palatino Linotype" w:eastAsia="Times New Roman" w:hAnsi="Palatino Linotype" w:cs="Times New Roman"/>
          <w:sz w:val="20"/>
          <w:szCs w:val="20"/>
          <w:lang w:val="es-ES" w:eastAsia="es-ES_tradnl"/>
        </w:rPr>
        <w:t>En materia de acceso a la información pública. 16611/INFOEM/ICR-91/IP/RR/2022. Aprobada por unanimidad de votos. Ayuntamiento de Zinacantepec. Comisionado Ponente Luis Gustavo Parra Noriega. Sesión 28 – 2023.</w:t>
      </w:r>
    </w:p>
    <w:p w:rsidR="00AF64CE" w:rsidRDefault="00AF64CE" w:rsidP="00AF64CE">
      <w:pPr>
        <w:pStyle w:val="Prrafodelista"/>
        <w:numPr>
          <w:ilvl w:val="0"/>
          <w:numId w:val="1"/>
        </w:numPr>
        <w:spacing w:after="0" w:line="240" w:lineRule="auto"/>
        <w:ind w:left="360"/>
        <w:jc w:val="both"/>
        <w:rPr>
          <w:rFonts w:ascii="Palatino Linotype" w:eastAsia="Times New Roman" w:hAnsi="Palatino Linotype" w:cs="Times New Roman"/>
          <w:sz w:val="20"/>
          <w:szCs w:val="20"/>
          <w:lang w:val="es-ES" w:eastAsia="es-ES_tradnl"/>
        </w:rPr>
      </w:pPr>
      <w:r w:rsidRPr="00AA404F">
        <w:rPr>
          <w:rFonts w:ascii="Palatino Linotype" w:eastAsia="Times New Roman" w:hAnsi="Palatino Linotype" w:cs="Times New Roman"/>
          <w:sz w:val="20"/>
          <w:szCs w:val="20"/>
          <w:lang w:val="es-ES" w:eastAsia="es-ES_tradnl"/>
        </w:rPr>
        <w:t>En materia de acceso a la información pública. 07343/INFOEM/ICR-51/IP/RR/2022 y Acumulados. Aprobada por unanimidad de votos. Ayuntamiento de Chalco. Comisionada Ponente María del Rosario Mejía Ayala. Sesión 29 – 2023.</w:t>
      </w:r>
    </w:p>
    <w:p w:rsidR="00FD6ABF" w:rsidRDefault="00AF64CE" w:rsidP="00AF64CE">
      <w:pPr>
        <w:pStyle w:val="Prrafodelista"/>
        <w:numPr>
          <w:ilvl w:val="0"/>
          <w:numId w:val="1"/>
        </w:numPr>
        <w:spacing w:after="0" w:line="240" w:lineRule="auto"/>
        <w:ind w:left="360"/>
        <w:jc w:val="both"/>
        <w:rPr>
          <w:rFonts w:ascii="Palatino Linotype" w:eastAsia="Times New Roman" w:hAnsi="Palatino Linotype" w:cs="Times New Roman"/>
          <w:sz w:val="20"/>
          <w:szCs w:val="20"/>
          <w:lang w:val="es-ES" w:eastAsia="es-ES_tradnl"/>
        </w:rPr>
      </w:pPr>
      <w:r w:rsidRPr="00AF64CE">
        <w:rPr>
          <w:rFonts w:ascii="Palatino Linotype" w:eastAsia="Times New Roman" w:hAnsi="Palatino Linotype" w:cs="Times New Roman"/>
          <w:sz w:val="20"/>
          <w:szCs w:val="20"/>
          <w:lang w:val="es-ES" w:eastAsia="es-ES_tradnl"/>
        </w:rPr>
        <w:t xml:space="preserve">En materia de acceso a la información pública. </w:t>
      </w:r>
      <w:r w:rsidRPr="00AF64CE">
        <w:rPr>
          <w:rFonts w:ascii="Palatino Linotype" w:eastAsia="Times New Roman" w:hAnsi="Palatino Linotype" w:cs="Times New Roman"/>
          <w:sz w:val="20"/>
          <w:szCs w:val="20"/>
          <w:lang w:eastAsia="es-ES_tradnl"/>
        </w:rPr>
        <w:t>03543/INFOEM/ICR-394/IP/RR/2023</w:t>
      </w:r>
      <w:r w:rsidRPr="00AF64CE">
        <w:rPr>
          <w:rFonts w:ascii="Palatino Linotype" w:eastAsia="Times New Roman" w:hAnsi="Palatino Linotype" w:cs="Times New Roman"/>
          <w:sz w:val="20"/>
          <w:szCs w:val="20"/>
          <w:lang w:val="es-ES" w:eastAsia="es-ES_tradnl"/>
        </w:rPr>
        <w:t xml:space="preserve">. Aprobada por unanimidad de votos. </w:t>
      </w:r>
      <w:r w:rsidRPr="00AF64CE">
        <w:rPr>
          <w:rFonts w:ascii="Palatino Linotype" w:eastAsia="Times New Roman" w:hAnsi="Palatino Linotype" w:cs="Times New Roman"/>
          <w:sz w:val="20"/>
          <w:szCs w:val="20"/>
          <w:lang w:eastAsia="es-ES_tradnl"/>
        </w:rPr>
        <w:t>Ayuntamiento de Zinacantepec</w:t>
      </w:r>
      <w:r w:rsidRPr="00AF64CE">
        <w:rPr>
          <w:rFonts w:ascii="Palatino Linotype" w:eastAsia="Times New Roman" w:hAnsi="Palatino Linotype" w:cs="Times New Roman"/>
          <w:sz w:val="20"/>
          <w:szCs w:val="20"/>
          <w:lang w:val="es-ES" w:eastAsia="es-ES_tradnl"/>
        </w:rPr>
        <w:t xml:space="preserve">. Comisionada Ponente </w:t>
      </w:r>
      <w:r w:rsidRPr="00AF64CE">
        <w:rPr>
          <w:rFonts w:ascii="Palatino Linotype" w:eastAsia="Times New Roman" w:hAnsi="Palatino Linotype" w:cs="Times New Roman"/>
          <w:sz w:val="20"/>
          <w:szCs w:val="20"/>
          <w:lang w:eastAsia="es-ES_tradnl"/>
        </w:rPr>
        <w:t>María del Rosario Mejía Ayala</w:t>
      </w:r>
      <w:r w:rsidRPr="00AF64CE">
        <w:rPr>
          <w:rFonts w:ascii="Palatino Linotype" w:eastAsia="Times New Roman" w:hAnsi="Palatino Linotype" w:cs="Times New Roman"/>
          <w:sz w:val="20"/>
          <w:szCs w:val="20"/>
          <w:lang w:val="es-ES" w:eastAsia="es-ES_tradnl"/>
        </w:rPr>
        <w:t>. Sesión 02 – 2024.</w:t>
      </w:r>
    </w:p>
    <w:tbl>
      <w:tblPr>
        <w:tblStyle w:val="Tablaconcuadrcula1"/>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7"/>
        <w:gridCol w:w="4117"/>
      </w:tblGrid>
      <w:tr w:rsidR="00581444" w:rsidRPr="00EA26CB" w:rsidTr="00967E63">
        <w:trPr>
          <w:trHeight w:val="185"/>
          <w:jc w:val="center"/>
        </w:trPr>
        <w:tc>
          <w:tcPr>
            <w:tcW w:w="4117" w:type="dxa"/>
          </w:tcPr>
          <w:p w:rsidR="00581444" w:rsidRPr="00EA26CB" w:rsidRDefault="00581444" w:rsidP="00967E63">
            <w:pPr>
              <w:tabs>
                <w:tab w:val="left" w:pos="7830"/>
              </w:tabs>
              <w:spacing w:line="276" w:lineRule="auto"/>
              <w:rPr>
                <w:rFonts w:ascii="Palatino Linotype" w:hAnsi="Palatino Linotype" w:cs="Arial"/>
                <w:b/>
                <w:sz w:val="23"/>
                <w:szCs w:val="23"/>
              </w:rPr>
            </w:pPr>
            <w:r w:rsidRPr="00EA26CB">
              <w:rPr>
                <w:rFonts w:ascii="Palatino Linotype" w:hAnsi="Palatino Linotype" w:cs="Arial"/>
                <w:b/>
                <w:color w:val="000000" w:themeColor="text1"/>
                <w:sz w:val="23"/>
                <w:szCs w:val="23"/>
              </w:rPr>
              <w:t>Tercera Época</w:t>
            </w:r>
          </w:p>
        </w:tc>
        <w:tc>
          <w:tcPr>
            <w:tcW w:w="4117" w:type="dxa"/>
          </w:tcPr>
          <w:p w:rsidR="00581444" w:rsidRPr="00EA26CB" w:rsidRDefault="00581444" w:rsidP="00967E63">
            <w:pPr>
              <w:tabs>
                <w:tab w:val="left" w:pos="7830"/>
              </w:tabs>
              <w:spacing w:line="276" w:lineRule="auto"/>
              <w:jc w:val="right"/>
              <w:rPr>
                <w:rFonts w:ascii="Palatino Linotype" w:hAnsi="Palatino Linotype" w:cs="Arial"/>
                <w:b/>
                <w:sz w:val="23"/>
                <w:szCs w:val="23"/>
              </w:rPr>
            </w:pPr>
            <w:r>
              <w:rPr>
                <w:rFonts w:ascii="Palatino Linotype" w:hAnsi="Palatino Linotype" w:cs="Arial"/>
                <w:b/>
                <w:color w:val="000000" w:themeColor="text1"/>
                <w:sz w:val="23"/>
                <w:szCs w:val="23"/>
              </w:rPr>
              <w:t>Criterio Reiterado 05/2024</w:t>
            </w:r>
          </w:p>
        </w:tc>
      </w:tr>
      <w:tr w:rsidR="00581444" w:rsidRPr="00EA26CB" w:rsidTr="00967E63">
        <w:trPr>
          <w:trHeight w:val="185"/>
          <w:jc w:val="center"/>
        </w:trPr>
        <w:tc>
          <w:tcPr>
            <w:tcW w:w="4117" w:type="dxa"/>
          </w:tcPr>
          <w:p w:rsidR="00581444" w:rsidRDefault="00581444" w:rsidP="00967E63">
            <w:pPr>
              <w:tabs>
                <w:tab w:val="left" w:pos="7830"/>
              </w:tabs>
              <w:spacing w:line="276" w:lineRule="auto"/>
              <w:rPr>
                <w:rFonts w:ascii="Palatino Linotype" w:hAnsi="Palatino Linotype" w:cs="Arial"/>
                <w:b/>
                <w:color w:val="000000" w:themeColor="text1"/>
                <w:sz w:val="23"/>
                <w:szCs w:val="23"/>
              </w:rPr>
            </w:pPr>
          </w:p>
          <w:p w:rsidR="008A1A62" w:rsidRPr="00EA26CB" w:rsidRDefault="008A1A62" w:rsidP="00967E63">
            <w:pPr>
              <w:tabs>
                <w:tab w:val="left" w:pos="7830"/>
              </w:tabs>
              <w:spacing w:line="276" w:lineRule="auto"/>
              <w:rPr>
                <w:rFonts w:ascii="Palatino Linotype" w:hAnsi="Palatino Linotype" w:cs="Arial"/>
                <w:b/>
                <w:color w:val="000000" w:themeColor="text1"/>
                <w:sz w:val="23"/>
                <w:szCs w:val="23"/>
              </w:rPr>
            </w:pPr>
            <w:bookmarkStart w:id="0" w:name="_GoBack"/>
            <w:bookmarkEnd w:id="0"/>
          </w:p>
        </w:tc>
        <w:tc>
          <w:tcPr>
            <w:tcW w:w="4117" w:type="dxa"/>
          </w:tcPr>
          <w:p w:rsidR="00581444" w:rsidRPr="00EA26CB" w:rsidRDefault="00581444" w:rsidP="00967E63">
            <w:pPr>
              <w:tabs>
                <w:tab w:val="left" w:pos="7830"/>
              </w:tabs>
              <w:spacing w:line="276" w:lineRule="auto"/>
              <w:jc w:val="right"/>
              <w:rPr>
                <w:rFonts w:ascii="Palatino Linotype" w:hAnsi="Palatino Linotype" w:cs="Arial"/>
                <w:b/>
                <w:color w:val="000000" w:themeColor="text1"/>
                <w:sz w:val="23"/>
                <w:szCs w:val="23"/>
              </w:rPr>
            </w:pPr>
          </w:p>
        </w:tc>
      </w:tr>
    </w:tbl>
    <w:p w:rsidR="00581444" w:rsidRPr="00581444" w:rsidRDefault="008A1A62" w:rsidP="0071180A">
      <w:pPr>
        <w:jc w:val="center"/>
        <w:rPr>
          <w:rFonts w:ascii="Palatino Linotype" w:eastAsia="Times New Roman" w:hAnsi="Palatino Linotype" w:cs="Times New Roman"/>
          <w:sz w:val="20"/>
          <w:szCs w:val="20"/>
          <w:lang w:val="es-ES" w:eastAsia="es-ES_tradnl"/>
        </w:rPr>
      </w:pPr>
      <w:hyperlink r:id="rId5" w:history="1">
        <w:r w:rsidR="0071180A" w:rsidRPr="00773D97">
          <w:rPr>
            <w:rStyle w:val="Hipervnculo"/>
            <w:rFonts w:ascii="Palatino Linotype" w:eastAsia="Times New Roman" w:hAnsi="Palatino Linotype" w:cs="Times New Roman"/>
            <w:sz w:val="20"/>
            <w:szCs w:val="20"/>
            <w:lang w:val="es-ES" w:eastAsia="es-ES_tradnl"/>
          </w:rPr>
          <w:t>https://legislacion.edomex.gob.mx/sites/legislacion.edomex.gob.mx/files/files/pdf/gct/2024/abril/abr161/abr161d.pdf</w:t>
        </w:r>
      </w:hyperlink>
    </w:p>
    <w:sectPr w:rsidR="00581444" w:rsidRPr="005814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453674"/>
    <w:multiLevelType w:val="hybridMultilevel"/>
    <w:tmpl w:val="FD5A2DB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CE"/>
    <w:rsid w:val="00581444"/>
    <w:rsid w:val="0071180A"/>
    <w:rsid w:val="008A1A62"/>
    <w:rsid w:val="00AF64CE"/>
    <w:rsid w:val="00FD6A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73C7CD-4D49-406E-B76D-E2F044F3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4CE"/>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64CE"/>
    <w:rPr>
      <w:rFonts w:ascii="Cambria" w:hAnsi="Cambria"/>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64CE"/>
    <w:pPr>
      <w:spacing w:after="200" w:line="276" w:lineRule="auto"/>
      <w:ind w:left="720"/>
      <w:contextualSpacing/>
    </w:pPr>
    <w:rPr>
      <w:rFonts w:ascii="Cambria" w:hAnsi="Cambria"/>
      <w:sz w:val="22"/>
      <w:szCs w:val="22"/>
    </w:rPr>
  </w:style>
  <w:style w:type="paragraph" w:styleId="NormalWeb">
    <w:name w:val="Normal (Web)"/>
    <w:basedOn w:val="Normal"/>
    <w:uiPriority w:val="99"/>
    <w:unhideWhenUsed/>
    <w:rsid w:val="00AF64CE"/>
    <w:pPr>
      <w:spacing w:before="100" w:beforeAutospacing="1" w:after="100" w:afterAutospacing="1"/>
    </w:pPr>
    <w:rPr>
      <w:rFonts w:ascii="Times New Roman" w:eastAsia="Times New Roman" w:hAnsi="Times New Roman" w:cs="Times New Roman"/>
      <w:lang w:eastAsia="es-MX"/>
    </w:rPr>
  </w:style>
  <w:style w:type="table" w:customStyle="1" w:styleId="Tablaconcuadrcula1">
    <w:name w:val="Tabla con cuadrícula1"/>
    <w:basedOn w:val="Tablanormal"/>
    <w:next w:val="Tablaconcuadrcula"/>
    <w:uiPriority w:val="59"/>
    <w:rsid w:val="00581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81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118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gislacion.edomex.gob.mx/sites/legislacion.edomex.gob.mx/files/files/pdf/gct/2024/abril/abr161/abr161d.pdf"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1419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2024-04-09T17:47:00Z</dcterms:created>
  <dcterms:modified xsi:type="dcterms:W3CDTF">2024-04-16T18:32:00Z</dcterms:modified>
</cp:coreProperties>
</file>